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sz w:val="26"/>
          <w:szCs w:val="26"/>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r w:rsidDel="00000000" w:rsidR="00000000" w:rsidRPr="00000000">
        <w:rPr>
          <w:rtl w:val="0"/>
        </w:rPr>
      </w:r>
    </w:p>
    <w:p w:rsidR="00000000" w:rsidDel="00000000" w:rsidP="00000000" w:rsidRDefault="00000000" w:rsidRPr="00000000" w14:paraId="0000000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used as the basis for the charges (and are maximums that the Supplier may charge) under each Call Off Contract; and</w:t>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in accordance with this Schedule.</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r w:rsidDel="00000000" w:rsidR="00000000" w:rsidRPr="00000000">
        <w:rPr>
          <w:rtl w:val="0"/>
        </w:rPr>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not be subject to Indexation</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r w:rsidDel="00000000" w:rsidR="00000000" w:rsidRPr="00000000">
        <w:rPr>
          <w:rtl w:val="0"/>
        </w:rPr>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Costs and expenses </w:t>
      </w:r>
      <w:r w:rsidDel="00000000" w:rsidR="00000000" w:rsidRPr="00000000">
        <w:rPr>
          <w:rtl w:val="0"/>
        </w:rPr>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sz w:val="24"/>
          <w:szCs w:val="24"/>
          <w:rtl w:val="0"/>
        </w:rPr>
        <w:t xml:space="preserve">Except as expressly set out in paragraph 4 (Reimbursable Expenses) of this Framework Schedule 3, the Framework Prices shall include all costs and expenses relating to the Services provided to the Buyer and/or the Suppliers performance of its obligations under any Call Off Contracts and no further amounts shall be payable by a Buyer to the Supplier in respect of such performance, including in respect of matters such as: </w:t>
      </w:r>
      <w:r w:rsidDel="00000000" w:rsidR="00000000" w:rsidRPr="00000000">
        <w:rPr>
          <w:rtl w:val="0"/>
        </w:rPr>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4.251968503937" w:right="0" w:hanging="850.3937007874017"/>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incidental expenses that the Supplier incurs, including travel, subsistence and lodging, document or report reproduction, shipping, desktop or office equipment costs required by the Supplier Personnel, network or data interchange costs or other telecommunications charges; or </w:t>
      </w:r>
      <w:r w:rsidDel="00000000" w:rsidR="00000000" w:rsidRPr="00000000">
        <w:rPr>
          <w:rtl w:val="0"/>
        </w:rPr>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sz w:val="24"/>
          <w:szCs w:val="24"/>
          <w:rtl w:val="0"/>
        </w:rPr>
        <w:t xml:space="preserve">any amount for any services provided or costs incurred by the Supplier prior to the commencement date of any Call Off Contract.</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or</w:t>
      </w:r>
      <w:r w:rsidDel="00000000" w:rsidR="00000000" w:rsidRPr="00000000">
        <w:rPr>
          <w:rtl w:val="0"/>
        </w:rPr>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46.14173228346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1">
      <w:pPr>
        <w:numPr>
          <w:ilvl w:val="0"/>
          <w:numId w:val="1"/>
        </w:numPr>
        <w:tabs>
          <w:tab w:val="left" w:pos="142"/>
        </w:tabs>
        <w:spacing w:after="240" w:before="120" w:line="240" w:lineRule="auto"/>
        <w:ind w:left="360" w:hanging="360"/>
        <w:jc w:val="both"/>
        <w:rPr>
          <w:rFonts w:ascii="Calibri" w:cs="Calibri" w:eastAsia="Calibri" w:hAnsi="Calibri"/>
          <w:sz w:val="22"/>
          <w:szCs w:val="22"/>
        </w:rPr>
      </w:pPr>
      <w:r w:rsidDel="00000000" w:rsidR="00000000" w:rsidRPr="00000000">
        <w:rPr>
          <w:rFonts w:ascii="Arial" w:cs="Arial" w:eastAsia="Arial" w:hAnsi="Arial"/>
          <w:b w:val="1"/>
          <w:sz w:val="24"/>
          <w:szCs w:val="24"/>
          <w:rtl w:val="0"/>
        </w:rPr>
        <w:t xml:space="preserve">Reimbursable expenses</w:t>
      </w:r>
      <w:r w:rsidDel="00000000" w:rsidR="00000000" w:rsidRPr="00000000">
        <w:rPr>
          <w:rtl w:val="0"/>
        </w:rPr>
      </w:r>
    </w:p>
    <w:p w:rsidR="00000000" w:rsidDel="00000000" w:rsidP="00000000" w:rsidRDefault="00000000" w:rsidRPr="00000000" w14:paraId="00000012">
      <w:pPr>
        <w:numPr>
          <w:ilvl w:val="1"/>
          <w:numId w:val="1"/>
        </w:numPr>
        <w:tabs>
          <w:tab w:val="left" w:pos="142"/>
        </w:tabs>
        <w:spacing w:after="240" w:before="120" w:line="240" w:lineRule="auto"/>
        <w:ind w:left="644" w:hanging="359.9999999999999"/>
        <w:jc w:val="both"/>
        <w:rPr>
          <w:sz w:val="24"/>
          <w:szCs w:val="24"/>
        </w:rPr>
      </w:pPr>
      <w:r w:rsidDel="00000000" w:rsidR="00000000" w:rsidRPr="00000000">
        <w:rPr>
          <w:rFonts w:ascii="Arial" w:cs="Arial" w:eastAsia="Arial" w:hAnsi="Arial"/>
          <w:sz w:val="24"/>
          <w:szCs w:val="24"/>
          <w:rtl w:val="0"/>
        </w:rPr>
        <w:t xml:space="preserve">Where Services are to be provided to the Buyer under any Call Off Contract on the basis of Framework Prices submitted by the Supplier to CCS using the Time and Materials pricing mechanism set out in Annex 1, the Supplier shall be entitled to be reimbursed by the Buyer for Reimbursable Expenses (in addition to being paid the relevant Charges under the respective Call Off Contracts), provided that such Reimbursable Expenses are supported by Supporting Documentation. 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13">
      <w:pPr>
        <w:numPr>
          <w:ilvl w:val="0"/>
          <w:numId w:val="1"/>
        </w:numPr>
        <w:tabs>
          <w:tab w:val="left" w:pos="142"/>
        </w:tabs>
        <w:spacing w:after="240" w:before="120" w:line="240" w:lineRule="auto"/>
        <w:ind w:left="360" w:hanging="360"/>
        <w:jc w:val="both"/>
        <w:rPr>
          <w:sz w:val="24"/>
          <w:szCs w:val="24"/>
        </w:rPr>
      </w:pPr>
      <w:r w:rsidDel="00000000" w:rsidR="00000000" w:rsidRPr="00000000">
        <w:rPr>
          <w:rFonts w:ascii="Arial" w:cs="Arial" w:eastAsia="Arial" w:hAnsi="Arial"/>
          <w:b w:val="1"/>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4">
      <w:pPr>
        <w:numPr>
          <w:ilvl w:val="1"/>
          <w:numId w:val="1"/>
        </w:numPr>
        <w:tabs>
          <w:tab w:val="left" w:pos="709"/>
        </w:tabs>
        <w:spacing w:after="120" w:before="120" w:line="240" w:lineRule="auto"/>
        <w:ind w:left="644" w:hanging="359.9999999999999"/>
        <w:rPr/>
      </w:pPr>
      <w:r w:rsidDel="00000000" w:rsidR="00000000" w:rsidRPr="00000000">
        <w:rPr>
          <w:rFonts w:ascii="Arial" w:cs="Arial" w:eastAsia="Arial" w:hAnsi="Arial"/>
          <w:sz w:val="24"/>
          <w:szCs w:val="24"/>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15">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Specific Change in Law in accordance with Clause 24;</w:t>
      </w:r>
      <w:r w:rsidDel="00000000" w:rsidR="00000000" w:rsidRPr="00000000">
        <w:rPr>
          <w:rtl w:val="0"/>
        </w:rPr>
      </w:r>
    </w:p>
    <w:p w:rsidR="00000000" w:rsidDel="00000000" w:rsidP="00000000" w:rsidRDefault="00000000" w:rsidRPr="00000000" w14:paraId="00000016">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review in accordance with insurance requirements in Clause 13; </w:t>
      </w:r>
      <w:r w:rsidDel="00000000" w:rsidR="00000000" w:rsidRPr="00000000">
        <w:rPr>
          <w:rtl w:val="0"/>
        </w:rPr>
      </w:r>
    </w:p>
    <w:p w:rsidR="00000000" w:rsidDel="00000000" w:rsidP="00000000" w:rsidRDefault="00000000" w:rsidRPr="00000000" w14:paraId="00000017">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benchmarking review in accordance with Call Off Schedule 16 (Benchmarking): and</w:t>
      </w:r>
      <w:r w:rsidDel="00000000" w:rsidR="00000000" w:rsidRPr="00000000">
        <w:rPr>
          <w:rtl w:val="0"/>
        </w:rPr>
      </w:r>
    </w:p>
    <w:p w:rsidR="00000000" w:rsidDel="00000000" w:rsidP="00000000" w:rsidRDefault="00000000" w:rsidRPr="00000000" w14:paraId="00000018">
      <w:pPr>
        <w:numPr>
          <w:ilvl w:val="2"/>
          <w:numId w:val="1"/>
        </w:numPr>
        <w:tabs>
          <w:tab w:val="left" w:pos="1985"/>
          <w:tab w:val="left" w:pos="2127"/>
        </w:tabs>
        <w:spacing w:after="120" w:before="120" w:line="240" w:lineRule="auto"/>
        <w:ind w:left="990" w:firstLine="143.85826771653512"/>
        <w:rPr>
          <w:rFonts w:ascii="Arial" w:cs="Arial" w:eastAsia="Arial" w:hAnsi="Arial"/>
        </w:rPr>
      </w:pPr>
      <w:r w:rsidDel="00000000" w:rsidR="00000000" w:rsidRPr="00000000">
        <w:rPr>
          <w:rFonts w:ascii="Arial" w:cs="Arial" w:eastAsia="Arial" w:hAnsi="Arial"/>
          <w:sz w:val="24"/>
          <w:szCs w:val="24"/>
          <w:rtl w:val="0"/>
        </w:rPr>
        <w:t xml:space="preserve">a request from the Supplier, which it can make at any time, to decrease the Framework Prices.</w:t>
      </w:r>
      <w:r w:rsidDel="00000000" w:rsidR="00000000" w:rsidRPr="00000000">
        <w:rPr>
          <w:rtl w:val="0"/>
        </w:rPr>
      </w:r>
    </w:p>
    <w:p w:rsidR="00000000" w:rsidDel="00000000" w:rsidP="00000000" w:rsidRDefault="00000000" w:rsidRPr="00000000" w14:paraId="00000019">
      <w:pPr>
        <w:tabs>
          <w:tab w:val="left" w:pos="1985"/>
          <w:tab w:val="left" w:pos="2127"/>
        </w:tabs>
        <w:spacing w:after="120" w:before="120" w:line="240" w:lineRule="auto"/>
        <w:ind w:left="608.000000000000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numPr>
          <w:ilvl w:val="0"/>
          <w:numId w:val="1"/>
        </w:numPr>
        <w:tabs>
          <w:tab w:val="left"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Not Used  </w:t>
      </w:r>
      <w:r w:rsidDel="00000000" w:rsidR="00000000" w:rsidRPr="00000000">
        <w:rPr>
          <w:rtl w:val="0"/>
        </w:rPr>
      </w:r>
    </w:p>
    <w:p w:rsidR="00000000" w:rsidDel="00000000" w:rsidP="00000000" w:rsidRDefault="00000000" w:rsidRPr="00000000" w14:paraId="0000001B">
      <w:pPr>
        <w:numPr>
          <w:ilvl w:val="0"/>
          <w:numId w:val="1"/>
        </w:numPr>
        <w:tabs>
          <w:tab w:val="left" w:pos="142"/>
        </w:tabs>
        <w:spacing w:after="240" w:before="120" w:line="240" w:lineRule="auto"/>
        <w:ind w:left="360" w:hanging="360"/>
        <w:jc w:val="both"/>
        <w:rPr>
          <w:b w:val="1"/>
        </w:rPr>
      </w:pPr>
      <w:r w:rsidDel="00000000" w:rsidR="00000000" w:rsidRPr="00000000">
        <w:rPr>
          <w:rFonts w:ascii="Arial" w:cs="Arial" w:eastAsia="Arial" w:hAnsi="Arial"/>
          <w:b w:val="1"/>
          <w:sz w:val="24"/>
          <w:szCs w:val="24"/>
          <w:rtl w:val="0"/>
        </w:rPr>
        <w:t xml:space="preserve">When you will be reimbursed for travel and subsistence</w:t>
      </w:r>
      <w:r w:rsidDel="00000000" w:rsidR="00000000" w:rsidRPr="00000000">
        <w:rPr>
          <w:rtl w:val="0"/>
        </w:rPr>
      </w:r>
    </w:p>
    <w:p w:rsidR="00000000" w:rsidDel="00000000" w:rsidP="00000000" w:rsidRDefault="00000000" w:rsidRPr="00000000" w14:paraId="0000001C">
      <w:pPr>
        <w:numPr>
          <w:ilvl w:val="1"/>
          <w:numId w:val="1"/>
        </w:numPr>
        <w:tabs>
          <w:tab w:val="left" w:pos="709"/>
        </w:tabs>
        <w:spacing w:after="120" w:before="120" w:line="240" w:lineRule="auto"/>
        <w:ind w:left="644" w:hanging="359.9999999999998"/>
        <w:rPr/>
      </w:pPr>
      <w:r w:rsidDel="00000000" w:rsidR="00000000" w:rsidRPr="00000000">
        <w:rPr>
          <w:rFonts w:ascii="Arial" w:cs="Arial" w:eastAsia="Arial" w:hAnsi="Arial"/>
          <w:sz w:val="24"/>
          <w:szCs w:val="24"/>
          <w:rtl w:val="0"/>
        </w:rPr>
        <w:t xml:space="preserve">Expenses shall only be recoverable where:</w:t>
      </w:r>
      <w:r w:rsidDel="00000000" w:rsidR="00000000" w:rsidRPr="00000000">
        <w:rPr>
          <w:rtl w:val="0"/>
        </w:rPr>
      </w:r>
    </w:p>
    <w:p w:rsidR="00000000" w:rsidDel="00000000" w:rsidP="00000000" w:rsidRDefault="00000000" w:rsidRPr="00000000" w14:paraId="0000001D">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any of the pricing mechanisms listed in Annex 1 is used; and</w:t>
      </w:r>
      <w:r w:rsidDel="00000000" w:rsidR="00000000" w:rsidRPr="00000000">
        <w:rPr>
          <w:rtl w:val="0"/>
        </w:rPr>
      </w:r>
    </w:p>
    <w:p w:rsidR="00000000" w:rsidDel="00000000" w:rsidP="00000000" w:rsidRDefault="00000000" w:rsidRPr="00000000" w14:paraId="0000001E">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the Order Form states that recovery is permitted; and</w:t>
      </w:r>
      <w:r w:rsidDel="00000000" w:rsidR="00000000" w:rsidRPr="00000000">
        <w:rPr>
          <w:rtl w:val="0"/>
        </w:rPr>
      </w:r>
    </w:p>
    <w:p w:rsidR="00000000" w:rsidDel="00000000" w:rsidP="00000000" w:rsidRDefault="00000000" w:rsidRPr="00000000" w14:paraId="0000001F">
      <w:pPr>
        <w:numPr>
          <w:ilvl w:val="2"/>
          <w:numId w:val="1"/>
        </w:numPr>
        <w:tabs>
          <w:tab w:val="left" w:pos="1985"/>
          <w:tab w:val="left" w:pos="2127"/>
          <w:tab w:val="left" w:pos="1980"/>
        </w:tabs>
        <w:spacing w:after="120" w:before="120" w:line="240" w:lineRule="auto"/>
        <w:ind w:left="990" w:firstLine="143.85826771653498"/>
        <w:rPr>
          <w:rFonts w:ascii="Arial" w:cs="Arial" w:eastAsia="Arial" w:hAnsi="Arial"/>
        </w:rPr>
      </w:pPr>
      <w:r w:rsidDel="00000000" w:rsidR="00000000" w:rsidRPr="00000000">
        <w:rPr>
          <w:rFonts w:ascii="Arial" w:cs="Arial" w:eastAsia="Arial" w:hAnsi="Arial"/>
          <w:sz w:val="24"/>
          <w:szCs w:val="24"/>
          <w:rtl w:val="0"/>
        </w:rPr>
        <w:t xml:space="preserve">they are Reimbursable Expenses and are supported by Supporting Documentation.</w:t>
      </w:r>
      <w:r w:rsidDel="00000000" w:rsidR="00000000" w:rsidRPr="00000000">
        <w:rPr>
          <w:rtl w:val="0"/>
        </w:rPr>
      </w:r>
    </w:p>
    <w:p w:rsidR="00000000" w:rsidDel="00000000" w:rsidP="00000000" w:rsidRDefault="00000000" w:rsidRPr="00000000" w14:paraId="00000020">
      <w:pPr>
        <w:numPr>
          <w:ilvl w:val="1"/>
          <w:numId w:val="1"/>
        </w:numPr>
        <w:tabs>
          <w:tab w:val="left" w:pos="709"/>
        </w:tabs>
        <w:spacing w:after="120" w:before="120" w:line="240" w:lineRule="auto"/>
        <w:ind w:left="644" w:hanging="359.9999999999998"/>
        <w:rPr/>
      </w:pPr>
      <w:bookmarkStart w:colFirst="0" w:colLast="0" w:name="_heading=h.tyjcwt" w:id="2"/>
      <w:bookmarkEnd w:id="2"/>
      <w:r w:rsidDel="00000000" w:rsidR="00000000" w:rsidRPr="00000000">
        <w:rPr>
          <w:rFonts w:ascii="Arial" w:cs="Arial" w:eastAsia="Arial" w:hAnsi="Arial"/>
          <w:sz w:val="24"/>
          <w:szCs w:val="24"/>
          <w:rtl w:val="0"/>
        </w:rPr>
        <w:t xml:space="preserve">For the purposes of paragraph 7.1 of this Schedule, a “</w:t>
      </w:r>
      <w:r w:rsidDel="00000000" w:rsidR="00000000" w:rsidRPr="00000000">
        <w:rPr>
          <w:rFonts w:ascii="Arial" w:cs="Arial" w:eastAsia="Arial" w:hAnsi="Arial"/>
          <w:b w:val="1"/>
          <w:sz w:val="24"/>
          <w:szCs w:val="24"/>
          <w:rtl w:val="0"/>
        </w:rPr>
        <w:t xml:space="preserve">Time and Materials pricing mechanism</w:t>
      </w:r>
      <w:r w:rsidDel="00000000" w:rsidR="00000000" w:rsidRPr="00000000">
        <w:rPr>
          <w:rFonts w:ascii="Arial" w:cs="Arial" w:eastAsia="Arial" w:hAnsi="Arial"/>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r w:rsidDel="00000000" w:rsidR="00000000" w:rsidRPr="00000000">
        <w:rPr>
          <w:rtl w:val="0"/>
        </w:rPr>
      </w:r>
    </w:p>
    <w:p w:rsidR="00000000" w:rsidDel="00000000" w:rsidP="00000000" w:rsidRDefault="00000000" w:rsidRPr="00000000" w14:paraId="00000021">
      <w:pPr>
        <w:numPr>
          <w:ilvl w:val="1"/>
          <w:numId w:val="1"/>
        </w:numPr>
        <w:tabs>
          <w:tab w:val="left" w:pos="709"/>
        </w:tabs>
        <w:spacing w:after="120" w:before="120" w:line="240" w:lineRule="auto"/>
        <w:ind w:left="644" w:hanging="359.9999999999998"/>
        <w:rPr>
          <w:highlight w:val="yellow"/>
        </w:rPr>
      </w:pPr>
      <w:bookmarkStart w:colFirst="0" w:colLast="0" w:name="_heading=h.3dy6vkm" w:id="3"/>
      <w:bookmarkEnd w:id="3"/>
      <w:r w:rsidDel="00000000" w:rsidR="00000000" w:rsidRPr="00000000">
        <w:rPr>
          <w:rFonts w:ascii="Arial" w:cs="Arial" w:eastAsia="Arial" w:hAnsi="Arial"/>
          <w:sz w:val="24"/>
          <w:szCs w:val="24"/>
          <w:highlight w:val="yellow"/>
          <w:rtl w:val="0"/>
        </w:rPr>
        <w:t xml:space="preserve">[The Buyer shall provide a copy of their current expenses policy to the Supplier upon request. ]</w:t>
      </w:r>
      <w:r w:rsidDel="00000000" w:rsidR="00000000" w:rsidRPr="00000000">
        <w:rPr>
          <w:rtl w:val="0"/>
        </w:rPr>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b w:val="1"/>
          <w:sz w:val="36"/>
          <w:szCs w:val="36"/>
        </w:rPr>
      </w:pPr>
      <w:bookmarkStart w:colFirst="0" w:colLast="0" w:name="_heading=h.2et92p0" w:id="4"/>
      <w:bookmarkEnd w:id="4"/>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1: Time and Materials</w:t>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its Sub-Contractor) shall not be entitled to include any uplift for risks or contingencies within its day rates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1"/>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rPr>
          <w:cantSplit w:val="0"/>
          <w:tblHeader w:val="0"/>
        </w:trPr>
        <w:tc>
          <w:tcPr>
            <w:tcBorders>
              <w:bottom w:color="000000" w:space="0" w:sz="4" w:val="single"/>
            </w:tcBorders>
            <w:shd w:fill="548dd4" w:val="clear"/>
          </w:tcPr>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Grade</w:t>
            </w:r>
          </w:p>
        </w:tc>
        <w:tc>
          <w:tcPr>
            <w:tcBorders>
              <w:bottom w:color="000000" w:space="0" w:sz="4" w:val="single"/>
            </w:tcBorders>
            <w:shd w:fill="548dd4" w:val="clear"/>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Rate (£)</w:t>
            </w:r>
          </w:p>
        </w:tc>
      </w:tr>
      <w:tr>
        <w:trPr>
          <w:cantSplit w:val="0"/>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1.73228346456688" w:right="0" w:firstLine="0"/>
              <w:jc w:val="left"/>
              <w:rPr>
                <w:rFonts w:ascii="Arial" w:cs="Arial" w:eastAsia="Arial" w:hAnsi="Arial"/>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Partner / Managing Director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[T&amp;M]</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D">
            <w:pPr>
              <w:spacing w:after="120" w:before="120" w:lineRule="auto"/>
              <w:ind w:lef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Managing Consultant / Director / Associate Partner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2F">
            <w:pPr>
              <w:spacing w:after="120" w:before="120" w:lineRule="auto"/>
              <w:ind w:left="0" w:firstLine="0"/>
              <w:rPr/>
            </w:pPr>
            <w:r w:rsidDel="00000000" w:rsidR="00000000" w:rsidRPr="00000000">
              <w:rPr>
                <w:rFonts w:ascii="Arial" w:cs="Arial" w:eastAsia="Arial" w:hAnsi="Arial"/>
                <w:sz w:val="24"/>
                <w:szCs w:val="24"/>
                <w:rtl w:val="0"/>
              </w:rPr>
              <w:t xml:space="preserve">Principal Consultant / Associate Director / Senior Manager</w:t>
            </w:r>
            <w:r w:rsidDel="00000000" w:rsidR="00000000" w:rsidRPr="00000000">
              <w:rPr>
                <w:rFonts w:ascii="Arial" w:cs="Arial" w:eastAsia="Arial" w:hAnsi="Arial"/>
                <w:sz w:val="24"/>
                <w:szCs w:val="24"/>
                <w:rtl w:val="0"/>
              </w:rPr>
              <w:t xml:space="preserve"> </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1">
            <w:pPr>
              <w:spacing w:after="120" w:before="120" w:lineRule="auto"/>
              <w:ind w:left="0" w:firstLine="0"/>
              <w:rPr/>
            </w:pPr>
            <w:r w:rsidDel="00000000" w:rsidR="00000000" w:rsidRPr="00000000">
              <w:rPr>
                <w:rFonts w:ascii="Arial" w:cs="Arial" w:eastAsia="Arial" w:hAnsi="Arial"/>
                <w:sz w:val="24"/>
                <w:szCs w:val="24"/>
                <w:rtl w:val="0"/>
              </w:rPr>
              <w:t xml:space="preserve">Senior Consultant / Manager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3">
            <w:pPr>
              <w:spacing w:after="120" w:before="120" w:lineRule="auto"/>
              <w:ind w:left="0" w:firstLine="0"/>
              <w:rPr/>
            </w:pPr>
            <w:r w:rsidDel="00000000" w:rsidR="00000000" w:rsidRPr="00000000">
              <w:rPr>
                <w:rFonts w:ascii="Arial" w:cs="Arial" w:eastAsia="Arial" w:hAnsi="Arial"/>
                <w:sz w:val="24"/>
                <w:szCs w:val="24"/>
                <w:rtl w:val="0"/>
              </w:rPr>
              <w:t xml:space="preserve">Consultant / Senior Analyst / Senior Associate / Assistant Manager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5">
            <w:pPr>
              <w:spacing w:after="120" w:before="120" w:lineRule="auto"/>
              <w:ind w:left="0" w:firstLine="0"/>
              <w:rPr/>
            </w:pPr>
            <w:r w:rsidDel="00000000" w:rsidR="00000000" w:rsidRPr="00000000">
              <w:rPr>
                <w:rFonts w:ascii="Arial" w:cs="Arial" w:eastAsia="Arial" w:hAnsi="Arial"/>
                <w:sz w:val="24"/>
                <w:szCs w:val="24"/>
                <w:rtl w:val="0"/>
              </w:rPr>
              <w:t xml:space="preserve">Analyst / Junior Consultant / Associate</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hd w:fill="auto" w:val="clear"/>
              <w:spacing w:after="120" w:before="240" w:line="240" w:lineRule="auto"/>
              <w:ind w:left="142" w:firstLine="0"/>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[T&amp;M]</w:t>
            </w:r>
            <w:r w:rsidDel="00000000" w:rsidR="00000000" w:rsidRPr="00000000">
              <w:rPr>
                <w:rtl w:val="0"/>
              </w:rPr>
            </w:r>
          </w:p>
        </w:tc>
      </w:tr>
    </w:tbl>
    <w:p w:rsidR="00000000" w:rsidDel="00000000" w:rsidP="00000000" w:rsidRDefault="00000000" w:rsidRPr="00000000" w14:paraId="00000037">
      <w:pPr>
        <w:keepNext w:val="1"/>
        <w:pageBreakBefore w:val="0"/>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2: Hourly Prices</w:t>
      </w:r>
    </w:p>
    <w:p w:rsidR="00000000" w:rsidDel="00000000" w:rsidP="00000000" w:rsidRDefault="00000000" w:rsidRPr="00000000" w14:paraId="00000038">
      <w:pPr>
        <w:keepNext w:val="1"/>
        <w:pageBreakBefore w:val="0"/>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 its Sub-Contractor) shall not be entitled to include any uplift for risks or contingencies within its hourly rates. </w:t>
      </w:r>
    </w:p>
    <w:p w:rsidR="00000000" w:rsidDel="00000000" w:rsidP="00000000" w:rsidRDefault="00000000" w:rsidRPr="00000000" w14:paraId="00000039">
      <w:pPr>
        <w:keepNext w:val="1"/>
        <w:pageBreakBefore w:val="0"/>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hourly rates will be calculated by dividing the Day Rate (Time and Materials) by eight (8). </w:t>
      </w:r>
    </w:p>
    <w:p w:rsidR="00000000" w:rsidDel="00000000" w:rsidP="00000000" w:rsidRDefault="00000000" w:rsidRPr="00000000" w14:paraId="0000003A">
      <w:pPr>
        <w:pageBreakBefore w:val="0"/>
        <w:spacing w:after="12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p>
    <w:tbl>
      <w:tblPr>
        <w:tblStyle w:val="Table2"/>
        <w:tblW w:w="9120.0" w:type="dxa"/>
        <w:jc w:val="left"/>
        <w:tblInd w:w="-10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60"/>
        <w:gridCol w:w="4560"/>
        <w:tblGridChange w:id="0">
          <w:tblGrid>
            <w:gridCol w:w="4560"/>
            <w:gridCol w:w="4560"/>
          </w:tblGrid>
        </w:tblGridChange>
      </w:tblGrid>
      <w:tr>
        <w:trPr>
          <w:cantSplit w:val="0"/>
          <w:tblHeader w:val="0"/>
        </w:trPr>
        <w:tc>
          <w:tcPr>
            <w:tcBorders>
              <w:bottom w:color="000000" w:space="0" w:sz="4" w:val="single"/>
            </w:tcBorders>
            <w:shd w:fill="548dd4" w:val="clear"/>
          </w:tcPr>
          <w:p w:rsidR="00000000" w:rsidDel="00000000" w:rsidP="00000000" w:rsidRDefault="00000000" w:rsidRPr="00000000" w14:paraId="0000003B">
            <w:pPr>
              <w:keepNext w:val="1"/>
              <w:pageBreakBefore w:val="0"/>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 Grade</w:t>
            </w:r>
          </w:p>
        </w:tc>
        <w:tc>
          <w:tcPr>
            <w:tcBorders>
              <w:bottom w:color="000000" w:space="0" w:sz="4" w:val="single"/>
            </w:tcBorders>
            <w:shd w:fill="548dd4" w:val="clear"/>
          </w:tcPr>
          <w:p w:rsidR="00000000" w:rsidDel="00000000" w:rsidP="00000000" w:rsidRDefault="00000000" w:rsidRPr="00000000" w14:paraId="0000003C">
            <w:pPr>
              <w:keepNext w:val="1"/>
              <w:pageBreakBefore w:val="0"/>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Hourly Rate (£)</w:t>
            </w:r>
          </w:p>
        </w:tc>
      </w:tr>
      <w:tr>
        <w:trPr>
          <w:cantSplit w:val="0"/>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3D">
            <w:pPr>
              <w:keepNext w:val="1"/>
              <w:pageBreakBefore w:val="0"/>
              <w:spacing w:after="120" w:before="24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Partner / Managing Director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keepNext w:val="1"/>
              <w:pageBreakBefore w:val="0"/>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3F">
            <w:pPr>
              <w:pageBreakBefore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Managing Consultant / Director / Associate Partner</w:t>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0">
            <w:pPr>
              <w:keepNext w:val="1"/>
              <w:pageBreakBefore w:val="0"/>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[T&amp;M]</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1">
            <w:pPr>
              <w:pageBreakBefore w:val="0"/>
              <w:spacing w:after="120" w:before="120" w:lineRule="auto"/>
              <w:rPr/>
            </w:pPr>
            <w:r w:rsidDel="00000000" w:rsidR="00000000" w:rsidRPr="00000000">
              <w:rPr>
                <w:rFonts w:ascii="Arial" w:cs="Arial" w:eastAsia="Arial" w:hAnsi="Arial"/>
                <w:sz w:val="24"/>
                <w:szCs w:val="24"/>
                <w:rtl w:val="0"/>
              </w:rPr>
              <w:t xml:space="preserve">Principal Consultant / Associate Director / Senior Manager </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2">
            <w:pPr>
              <w:keepNext w:val="1"/>
              <w:pageBreakBefore w:val="0"/>
              <w:spacing w:after="120" w:befor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3">
            <w:pPr>
              <w:pageBreakBefore w:val="0"/>
              <w:spacing w:after="120" w:before="120" w:lineRule="auto"/>
              <w:rPr/>
            </w:pPr>
            <w:r w:rsidDel="00000000" w:rsidR="00000000" w:rsidRPr="00000000">
              <w:rPr>
                <w:rFonts w:ascii="Arial" w:cs="Arial" w:eastAsia="Arial" w:hAnsi="Arial"/>
                <w:sz w:val="24"/>
                <w:szCs w:val="24"/>
                <w:rtl w:val="0"/>
              </w:rPr>
              <w:t xml:space="preserve">Senior Consultant / Manager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4">
            <w:pPr>
              <w:keepNext w:val="1"/>
              <w:pageBreakBefore w:val="0"/>
              <w:spacing w:after="120" w:befor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5">
            <w:pPr>
              <w:pageBreakBefore w:val="0"/>
              <w:spacing w:after="120" w:before="120" w:lineRule="auto"/>
              <w:rPr/>
            </w:pPr>
            <w:r w:rsidDel="00000000" w:rsidR="00000000" w:rsidRPr="00000000">
              <w:rPr>
                <w:rFonts w:ascii="Arial" w:cs="Arial" w:eastAsia="Arial" w:hAnsi="Arial"/>
                <w:sz w:val="24"/>
                <w:szCs w:val="24"/>
                <w:rtl w:val="0"/>
              </w:rPr>
              <w:t xml:space="preserve">Consultant / Senior Analyst / Senior Associate / Assistant Manager</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6">
            <w:pPr>
              <w:keepNext w:val="1"/>
              <w:pageBreakBefore w:val="0"/>
              <w:spacing w:after="120" w:befor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047">
            <w:pPr>
              <w:pageBreakBefore w:val="0"/>
              <w:spacing w:after="120" w:before="120" w:lineRule="auto"/>
              <w:rPr/>
            </w:pPr>
            <w:r w:rsidDel="00000000" w:rsidR="00000000" w:rsidRPr="00000000">
              <w:rPr>
                <w:rFonts w:ascii="Arial" w:cs="Arial" w:eastAsia="Arial" w:hAnsi="Arial"/>
                <w:sz w:val="24"/>
                <w:szCs w:val="24"/>
                <w:rtl w:val="0"/>
              </w:rPr>
              <w:t xml:space="preserve">Analyst / Junior Consultant / Associate</w:t>
            </w:r>
            <w:r w:rsidDel="00000000" w:rsidR="00000000" w:rsidRPr="00000000">
              <w:rPr>
                <w:rtl w:val="0"/>
              </w:rPr>
            </w:r>
          </w:p>
        </w:tc>
        <w:tc>
          <w:tcPr>
            <w:tcBorders>
              <w:top w:color="000000" w:space="0" w:sz="4" w:val="single"/>
              <w:left w:color="000000" w:space="0" w:sz="6" w:val="single"/>
              <w:bottom w:color="000000" w:space="0" w:sz="4" w:val="single"/>
              <w:right w:color="000000" w:space="0" w:sz="4" w:val="single"/>
            </w:tcBorders>
          </w:tcPr>
          <w:p w:rsidR="00000000" w:rsidDel="00000000" w:rsidP="00000000" w:rsidRDefault="00000000" w:rsidRPr="00000000" w14:paraId="00000048">
            <w:pPr>
              <w:keepNext w:val="1"/>
              <w:pageBreakBefore w:val="0"/>
              <w:spacing w:after="120" w:before="240" w:lineRule="auto"/>
              <w:ind w:left="142" w:firstLine="0"/>
              <w:rPr/>
            </w:pPr>
            <w:r w:rsidDel="00000000" w:rsidR="00000000" w:rsidRPr="00000000">
              <w:rPr>
                <w:rFonts w:ascii="Arial" w:cs="Arial" w:eastAsia="Arial" w:hAnsi="Arial"/>
                <w:sz w:val="24"/>
                <w:szCs w:val="24"/>
                <w:rtl w:val="0"/>
              </w:rPr>
              <w:t xml:space="preserve">[T&amp;M]</w:t>
            </w:r>
            <w:r w:rsidDel="00000000" w:rsidR="00000000" w:rsidRPr="00000000">
              <w:rPr>
                <w:rtl w:val="0"/>
              </w:rPr>
            </w:r>
          </w:p>
        </w:tc>
      </w:tr>
    </w:tbl>
    <w:p w:rsidR="00000000" w:rsidDel="00000000" w:rsidP="00000000" w:rsidRDefault="00000000" w:rsidRPr="00000000" w14:paraId="00000049">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w:t>
      </w:r>
      <w:r w:rsidDel="00000000" w:rsidR="00000000" w:rsidRPr="00000000">
        <w:rPr>
          <w:rFonts w:ascii="Arial" w:cs="Arial" w:eastAsia="Arial" w:hAnsi="Arial"/>
          <w:b w:val="1"/>
          <w:sz w:val="24"/>
          <w:szCs w:val="24"/>
          <w:rtl w:val="0"/>
        </w:rPr>
        <w:t xml:space="preserve">3</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Fixed Prices</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of services below shall not be subject to variation by way of Indexation</w:t>
      </w:r>
      <w:r w:rsidDel="00000000" w:rsidR="00000000" w:rsidRPr="00000000">
        <w:rPr>
          <w:rtl w:val="0"/>
        </w:rPr>
      </w:r>
    </w:p>
    <w:tbl>
      <w:tblPr>
        <w:tblStyle w:val="Table3"/>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w:t>
            </w:r>
          </w:p>
        </w:tc>
        <w:tc>
          <w:tcPr>
            <w:shd w:fill="548dd4" w:val="clear"/>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Framework Price (£)</w:t>
            </w:r>
          </w:p>
        </w:tc>
      </w:tr>
      <w:tr>
        <w:trPr>
          <w:cantSplit w:val="0"/>
          <w:tblHeader w:val="0"/>
        </w:trPr>
        <w:tc>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1]</w:t>
            </w:r>
          </w:p>
        </w:tc>
        <w:tc>
          <w:tcPr>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fixed price 2]</w:t>
            </w:r>
          </w:p>
        </w:tc>
        <w:tc>
          <w:tcPr>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w:t>
      </w:r>
      <w:r w:rsidDel="00000000" w:rsidR="00000000" w:rsidRPr="00000000">
        <w:rPr>
          <w:rFonts w:ascii="Arial" w:cs="Arial" w:eastAsia="Arial" w:hAnsi="Arial"/>
          <w:b w:val="1"/>
          <w:sz w:val="24"/>
          <w:szCs w:val="24"/>
          <w:rtl w:val="0"/>
        </w:rPr>
        <w:t xml:space="preserve">4</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Volume Based Prices</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below shall not be subject to variation by way of Indexation</w:t>
      </w:r>
      <w:r w:rsidDel="00000000" w:rsidR="00000000" w:rsidRPr="00000000">
        <w:rPr>
          <w:rtl w:val="0"/>
        </w:rPr>
      </w:r>
    </w:p>
    <w:tbl>
      <w:tblPr>
        <w:tblStyle w:val="Table4"/>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 Number</w:t>
            </w:r>
          </w:p>
        </w:tc>
        <w:tc>
          <w:tcPr>
            <w:shd w:fill="548dd4"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Unit</w:t>
            </w:r>
          </w:p>
        </w:tc>
        <w:tc>
          <w:tcPr>
            <w:shd w:fill="548dd4"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Number of units per Service Period</w:t>
            </w:r>
          </w:p>
        </w:tc>
        <w:tc>
          <w:tcPr>
            <w:shd w:fill="548dd4"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 per unit (£)</w:t>
            </w:r>
          </w:p>
        </w:tc>
      </w:tr>
      <w:tr>
        <w:trPr>
          <w:cantSplit w:val="0"/>
          <w:tblHeader w:val="0"/>
        </w:trPr>
        <w:tc>
          <w:tcPr>
            <w:vMerge w:val="restart"/>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1]</w:t>
            </w:r>
          </w:p>
        </w:tc>
        <w:tc>
          <w:tcPr>
            <w:vMerge w:val="restart"/>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rHeight w:val="701" w:hRule="atLeast"/>
          <w:tblHeader w:val="0"/>
        </w:trPr>
        <w:tc>
          <w:tcPr>
            <w:vMerge w:val="continue"/>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5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5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vMerge w:val="restart"/>
          </w:tcPr>
          <w:p w:rsidR="00000000" w:rsidDel="00000000" w:rsidP="00000000" w:rsidRDefault="00000000" w:rsidRPr="00000000" w14:paraId="0000005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[e.g. volume based price 2]</w:t>
            </w:r>
          </w:p>
        </w:tc>
        <w:tc>
          <w:tcPr>
            <w:vMerge w:val="restart"/>
          </w:tcPr>
          <w:p w:rsidR="00000000" w:rsidDel="00000000" w:rsidP="00000000" w:rsidRDefault="00000000" w:rsidRPr="00000000" w14:paraId="0000006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r>
        <w:trPr>
          <w:cantSplit w:val="0"/>
          <w:tblHeader w:val="0"/>
        </w:trPr>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6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 [         ]</w:t>
            </w:r>
          </w:p>
        </w:tc>
        <w:tc>
          <w:tcPr/>
          <w:p w:rsidR="00000000" w:rsidDel="00000000" w:rsidP="00000000" w:rsidRDefault="00000000" w:rsidRPr="00000000" w14:paraId="0000006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r>
    </w:tbl>
    <w:p w:rsidR="00000000" w:rsidDel="00000000" w:rsidP="00000000" w:rsidRDefault="00000000" w:rsidRPr="00000000" w14:paraId="00000067">
      <w:pPr>
        <w:pageBreakBefore w:val="0"/>
        <w:spacing w:after="120" w:before="240" w:line="240"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5"/>
        <w:jc w:val="left"/>
        <w:tblInd w:w="-115.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9026"/>
        <w:tblGridChange w:id="0">
          <w:tblGrid>
            <w:gridCol w:w="9026"/>
          </w:tblGrid>
        </w:tblGridChange>
      </w:tblGrid>
    </w:tbl>
    <w:p w:rsidR="00000000" w:rsidDel="00000000" w:rsidP="00000000" w:rsidRDefault="00000000" w:rsidRPr="00000000" w14:paraId="00000068">
      <w:pPr>
        <w:keepNext w:val="1"/>
        <w:pageBreakBefore w:val="0"/>
        <w:spacing w:after="240" w:before="24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keepNext w:val="1"/>
        <w:spacing w:after="240" w:before="24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Table 5: Risk and Reward Prices</w:t>
      </w:r>
    </w:p>
    <w:p w:rsidR="00000000" w:rsidDel="00000000" w:rsidP="00000000" w:rsidRDefault="00000000" w:rsidRPr="00000000" w14:paraId="0000006A">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rates below shall not be subject to variation by way of Indexation</w:t>
      </w:r>
    </w:p>
    <w:p w:rsidR="00000000" w:rsidDel="00000000" w:rsidP="00000000" w:rsidRDefault="00000000" w:rsidRPr="00000000" w14:paraId="0000006B">
      <w:pPr>
        <w:spacing w:after="120" w:before="240" w:line="240" w:lineRule="auto"/>
        <w:rPr>
          <w:rFonts w:ascii="Arial" w:cs="Arial" w:eastAsia="Arial" w:hAnsi="Arial"/>
          <w:b w:val="1"/>
          <w:i w:val="1"/>
          <w:sz w:val="24"/>
          <w:szCs w:val="24"/>
        </w:rPr>
      </w:pPr>
      <w:r w:rsidDel="00000000" w:rsidR="00000000" w:rsidRPr="00000000">
        <w:rPr>
          <w:rtl w:val="0"/>
        </w:rPr>
      </w:r>
    </w:p>
    <w:tbl>
      <w:tblPr>
        <w:tblStyle w:val="Table6"/>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6C">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Price</w:t>
            </w:r>
          </w:p>
        </w:tc>
        <w:tc>
          <w:tcPr>
            <w:shd w:fill="548dd4" w:val="clear"/>
          </w:tcPr>
          <w:p w:rsidR="00000000" w:rsidDel="00000000" w:rsidP="00000000" w:rsidRDefault="00000000" w:rsidRPr="00000000" w14:paraId="0000006D">
            <w:pPr>
              <w:keepNext w:val="1"/>
              <w:spacing w:after="120" w:before="240" w:line="24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Risk and Reward Framework Price (£)</w:t>
            </w:r>
          </w:p>
        </w:tc>
      </w:tr>
      <w:tr>
        <w:trPr>
          <w:cantSplit w:val="0"/>
          <w:tblHeader w:val="0"/>
        </w:trPr>
        <w:tc>
          <w:tcPr/>
          <w:p w:rsidR="00000000" w:rsidDel="00000000" w:rsidP="00000000" w:rsidRDefault="00000000" w:rsidRPr="00000000" w14:paraId="0000006E">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[e.g. risk and reward price 1]</w:t>
            </w:r>
          </w:p>
        </w:tc>
        <w:tc>
          <w:tcPr>
            <w:shd w:fill="ffffff" w:val="clear"/>
          </w:tcPr>
          <w:p w:rsidR="00000000" w:rsidDel="00000000" w:rsidP="00000000" w:rsidRDefault="00000000" w:rsidRPr="00000000" w14:paraId="0000006F">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0">
            <w:pPr>
              <w:keepNext w:val="1"/>
              <w:spacing w:after="120" w:before="240" w:line="240" w:lineRule="auto"/>
              <w:ind w:left="142"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[e.g. risk and reward price 2]</w:t>
            </w:r>
          </w:p>
        </w:tc>
        <w:tc>
          <w:tcPr>
            <w:shd w:fill="ffffff" w:val="clear"/>
          </w:tcPr>
          <w:p w:rsidR="00000000" w:rsidDel="00000000" w:rsidP="00000000" w:rsidRDefault="00000000" w:rsidRPr="00000000" w14:paraId="00000071">
            <w:pPr>
              <w:keepNext w:val="1"/>
              <w:spacing w:after="120" w:before="240" w:line="240" w:lineRule="auto"/>
              <w:ind w:left="142"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2">
      <w:pPr>
        <w:keepNext w:val="1"/>
        <w:spacing w:after="240" w:before="240" w:line="240" w:lineRule="auto"/>
        <w:rPr>
          <w:rFonts w:ascii="Arial" w:cs="Arial" w:eastAsia="Arial" w:hAnsi="Arial"/>
          <w:sz w:val="24"/>
          <w:szCs w:val="24"/>
        </w:rPr>
      </w:pPr>
      <w:r w:rsidDel="00000000" w:rsidR="00000000" w:rsidRPr="00000000">
        <w:rPr>
          <w:rtl w:val="0"/>
        </w:rPr>
      </w:r>
    </w:p>
    <w:sectPr>
      <w:footerReference r:id="rId7" w:type="defaul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Framework Ref: RM6269</w:t>
      <w:tab/>
      <w:t xml:space="preserve">                                           </w:t>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Model Version: v3.2</w:t>
      <w:tab/>
      <w:tab/>
      <w:tab/>
      <w:tab/>
      <w:tab/>
      <w:tab/>
      <w:tab/>
      <w:tab/>
      <w:tab/>
      <w:tab/>
      <w:t xml:space="preserve">1</w:t>
    </w:r>
  </w:p>
  <w:p w:rsidR="00000000" w:rsidDel="00000000" w:rsidP="00000000" w:rsidRDefault="00000000" w:rsidRPr="00000000" w14:paraId="00000075">
    <w:pPr>
      <w:rPr>
        <w:rFonts w:ascii="Arial" w:cs="Arial" w:eastAsia="Arial" w:hAnsi="Arial"/>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smallCaps w:val="0"/>
        <w:strike w:val="0"/>
        <w:color w:val="000000"/>
        <w:sz w:val="24"/>
        <w:szCs w:val="24"/>
        <w:u w:val="none"/>
        <w:vertAlign w:val="baseline"/>
      </w:rPr>
    </w:lvl>
    <w:lvl w:ilvl="1">
      <w:start w:val="1"/>
      <w:numFmt w:val="decimal"/>
      <w:lvlText w:val="%1.%2"/>
      <w:lvlJc w:val="left"/>
      <w:pPr>
        <w:ind w:left="644" w:hanging="359.999999999999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firstLine="143.858267716535"/>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EarelDQUq/0JEKG+gnrCJobN0A==">AMUW2mVDhAY8PnhvAMOcQx3fylhqvxyAIaHKtBqkyhbj3BwegbZ/1whmjgOnJb/h/fmEewjbtufhlfEsnpGlGswZX57dSWMHiHDza8Mct1C9yumyPMxkMYZJU+B3QMXrqIQNNwtJq8xAl7vUjgMyNRLQ5BTe8Q4EMsX0DYvCM3SbJlsfokPFWts=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2020-10-16T10:45:00Z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